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D7" w:rsidRDefault="00930030">
      <w:pPr>
        <w:pStyle w:val="Title-end"/>
        <w:tabs>
          <w:tab w:val="left" w:pos="4820"/>
        </w:tabs>
      </w:pPr>
      <w:r>
        <w:rPr>
          <w:noProof/>
          <w:lang w:eastAsia="zh-CN"/>
        </w:rPr>
        <w:drawing>
          <wp:anchor distT="0" distB="0" distL="114300" distR="114300" simplePos="0" relativeHeight="251657728" behindDoc="0" locked="0" layoutInCell="1" allowOverlap="1" wp14:anchorId="7784E2AF" wp14:editId="3FF95700">
            <wp:simplePos x="0" y="0"/>
            <wp:positionH relativeFrom="page">
              <wp:posOffset>4966335</wp:posOffset>
            </wp:positionH>
            <wp:positionV relativeFrom="page">
              <wp:posOffset>1326515</wp:posOffset>
            </wp:positionV>
            <wp:extent cx="685800" cy="4165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D7">
        <w:t>CONVENTION ON INTERNATIONAL TRADE IN ENDANGERED SPECIES</w:t>
      </w:r>
      <w:r w:rsidR="000E79D7">
        <w:br/>
        <w:t>OF WILD FAUNA AND FLORA</w:t>
      </w:r>
      <w:r w:rsidR="000E79D7">
        <w:br/>
        <w:t>____________________</w:t>
      </w:r>
    </w:p>
    <w:p w:rsidR="000E79D7" w:rsidRDefault="000E79D7" w:rsidP="00C31E13">
      <w:pPr>
        <w:jc w:val="center"/>
      </w:pPr>
      <w:r>
        <w:br/>
      </w:r>
      <w:r>
        <w:br/>
      </w:r>
    </w:p>
    <w:p w:rsidR="000E79D7" w:rsidRDefault="009229D9" w:rsidP="0035553A">
      <w:pPr>
        <w:spacing w:after="480"/>
        <w:jc w:val="center"/>
      </w:pPr>
      <w:r>
        <w:t>Sixty-</w:t>
      </w:r>
      <w:r w:rsidR="00623642">
        <w:t>six</w:t>
      </w:r>
      <w:r w:rsidR="00ED7A2B">
        <w:t>th</w:t>
      </w:r>
      <w:r>
        <w:t xml:space="preserve"> meeting of the Standing Committee</w:t>
      </w:r>
      <w:r>
        <w:br/>
      </w:r>
      <w:r w:rsidR="00ED7A2B">
        <w:t>Geneva</w:t>
      </w:r>
      <w:r w:rsidR="003C1871">
        <w:t xml:space="preserve"> (</w:t>
      </w:r>
      <w:r w:rsidR="00ED7A2B">
        <w:t>Switzerland</w:t>
      </w:r>
      <w:r w:rsidR="003C1871">
        <w:t xml:space="preserve">), </w:t>
      </w:r>
      <w:r w:rsidR="00623642">
        <w:t>11</w:t>
      </w:r>
      <w:r w:rsidR="00ED7A2B">
        <w:t>-1</w:t>
      </w:r>
      <w:r w:rsidR="00623642">
        <w:t>5</w:t>
      </w:r>
      <w:r w:rsidR="00ED7A2B">
        <w:t xml:space="preserve"> J</w:t>
      </w:r>
      <w:r w:rsidR="00623642">
        <w:t>anuary</w:t>
      </w:r>
      <w:r w:rsidR="00ED7A2B">
        <w:t xml:space="preserve"> 201</w:t>
      </w:r>
      <w:r w:rsidR="00623642">
        <w:t>6</w:t>
      </w:r>
    </w:p>
    <w:p w:rsidR="004D4676" w:rsidRDefault="004D4676" w:rsidP="004D4676">
      <w:pPr>
        <w:pStyle w:val="Title-start"/>
      </w:pPr>
      <w:r w:rsidRPr="0082773E">
        <w:t>National laws for i</w:t>
      </w:r>
      <w:r>
        <w:t>mplementation of the Convention</w:t>
      </w:r>
    </w:p>
    <w:p w:rsidR="00EF4903" w:rsidRDefault="0059159A" w:rsidP="0060528F">
      <w:pPr>
        <w:pStyle w:val="hg1"/>
      </w:pPr>
      <w:r>
        <w:tab/>
      </w:r>
      <w:r w:rsidR="00EF4903" w:rsidRPr="00EF4903">
        <w:t xml:space="preserve">According to the latest </w:t>
      </w:r>
      <w:r w:rsidR="00984CE5">
        <w:t>assessment</w:t>
      </w:r>
      <w:r w:rsidR="00EF4903" w:rsidRPr="00EF4903">
        <w:t xml:space="preserve"> 88 countries and 13 dependent territories need to strengthen their legal frameworks for the effective implementation of CITES, </w:t>
      </w:r>
      <w:r w:rsidR="001027F3">
        <w:t xml:space="preserve">particularly </w:t>
      </w:r>
      <w:r w:rsidR="00EF4903" w:rsidRPr="00EF4903">
        <w:t xml:space="preserve">to </w:t>
      </w:r>
      <w:r w:rsidR="001027F3">
        <w:t xml:space="preserve">tackle </w:t>
      </w:r>
      <w:r w:rsidR="00EF4903" w:rsidRPr="00EF4903">
        <w:t>illegal trade in wildlife.</w:t>
      </w:r>
      <w:r w:rsidR="001027F3">
        <w:t xml:space="preserve"> </w:t>
      </w:r>
    </w:p>
    <w:p w:rsidR="004920C4" w:rsidRDefault="004920C4" w:rsidP="004920C4"/>
    <w:tbl>
      <w:tblPr>
        <w:tblW w:w="12096" w:type="dxa"/>
        <w:tblInd w:w="108" w:type="dxa"/>
        <w:tblLook w:val="04A0" w:firstRow="1" w:lastRow="0" w:firstColumn="1" w:lastColumn="0" w:noHBand="0" w:noVBand="1"/>
      </w:tblPr>
      <w:tblGrid>
        <w:gridCol w:w="768"/>
        <w:gridCol w:w="1677"/>
        <w:gridCol w:w="1286"/>
        <w:gridCol w:w="1253"/>
        <w:gridCol w:w="1176"/>
        <w:gridCol w:w="1256"/>
        <w:gridCol w:w="976"/>
        <w:gridCol w:w="976"/>
        <w:gridCol w:w="976"/>
        <w:gridCol w:w="976"/>
        <w:gridCol w:w="976"/>
      </w:tblGrid>
      <w:tr w:rsidR="004920C4" w:rsidRPr="004920C4" w:rsidTr="004920C4">
        <w:trPr>
          <w:trHeight w:val="360"/>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color w:val="auto"/>
                <w:spacing w:val="0"/>
                <w:kern w:val="0"/>
                <w:lang w:eastAsia="zh-CN"/>
              </w:rPr>
            </w:pPr>
          </w:p>
        </w:tc>
        <w:tc>
          <w:tcPr>
            <w:tcW w:w="4216" w:type="dxa"/>
            <w:gridSpan w:val="3"/>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b/>
                <w:bCs/>
                <w:color w:val="003366"/>
                <w:spacing w:val="0"/>
                <w:kern w:val="0"/>
                <w:sz w:val="28"/>
                <w:szCs w:val="28"/>
                <w:lang w:eastAsia="zh-CN"/>
              </w:rPr>
            </w:pPr>
            <w:r w:rsidRPr="004920C4">
              <w:rPr>
                <w:rFonts w:ascii="Tahoma" w:hAnsi="Tahoma" w:cs="Tahoma"/>
                <w:b/>
                <w:bCs/>
                <w:color w:val="003366"/>
                <w:spacing w:val="0"/>
                <w:kern w:val="0"/>
                <w:sz w:val="28"/>
                <w:szCs w:val="28"/>
                <w:lang w:eastAsia="zh-CN"/>
              </w:rPr>
              <w:t>National Legislation Project</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Elephant" w:hAnsi="Elephant"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360"/>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color w:val="auto"/>
                <w:spacing w:val="0"/>
                <w:kern w:val="0"/>
                <w:sz w:val="28"/>
                <w:szCs w:val="28"/>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b/>
                <w:bCs/>
                <w:color w:val="003366"/>
                <w:spacing w:val="0"/>
                <w:kern w:val="0"/>
                <w:sz w:val="28"/>
                <w:szCs w:val="28"/>
                <w:lang w:eastAsia="zh-CN"/>
              </w:rPr>
            </w:pPr>
            <w:r w:rsidRPr="004920C4">
              <w:rPr>
                <w:rFonts w:ascii="Tahoma" w:hAnsi="Tahoma" w:cs="Tahoma"/>
                <w:b/>
                <w:bCs/>
                <w:color w:val="003366"/>
                <w:spacing w:val="0"/>
                <w:kern w:val="0"/>
                <w:sz w:val="28"/>
                <w:szCs w:val="28"/>
                <w:lang w:eastAsia="zh-CN"/>
              </w:rPr>
              <w:t>2015</w:t>
            </w: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color w:val="auto"/>
                <w:spacing w:val="0"/>
                <w:kern w:val="0"/>
                <w:sz w:val="28"/>
                <w:szCs w:val="28"/>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r>
              <w:rPr>
                <w:rFonts w:cs="Arial"/>
                <w:noProof/>
                <w:color w:val="auto"/>
                <w:spacing w:val="0"/>
                <w:kern w:val="0"/>
                <w:lang w:eastAsia="zh-CN"/>
              </w:rPr>
              <w:drawing>
                <wp:anchor distT="0" distB="0" distL="114300" distR="114300" simplePos="0" relativeHeight="251659776" behindDoc="0" locked="0" layoutInCell="1" allowOverlap="1" wp14:anchorId="5B8B6567" wp14:editId="0DBE086C">
                  <wp:simplePos x="0" y="0"/>
                  <wp:positionH relativeFrom="column">
                    <wp:posOffset>276225</wp:posOffset>
                  </wp:positionH>
                  <wp:positionV relativeFrom="paragraph">
                    <wp:posOffset>38100</wp:posOffset>
                  </wp:positionV>
                  <wp:extent cx="3886200" cy="2657475"/>
                  <wp:effectExtent l="0" t="0" r="19050" b="9525"/>
                  <wp:wrapNone/>
                  <wp:docPr id="1048" name="Chart 10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920C4" w:rsidRPr="004920C4">
              <w:trPr>
                <w:trHeight w:val="360"/>
                <w:tblCellSpacing w:w="0" w:type="dxa"/>
              </w:trPr>
              <w:tc>
                <w:tcPr>
                  <w:tcW w:w="960"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Elephant" w:hAnsi="Elephant" w:cs="Arial"/>
                      <w:color w:val="auto"/>
                      <w:spacing w:val="0"/>
                      <w:kern w:val="0"/>
                      <w:lang w:eastAsia="zh-CN"/>
                    </w:rPr>
                  </w:pPr>
                </w:p>
              </w:tc>
            </w:tr>
          </w:tbl>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360"/>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color w:val="auto"/>
                <w:spacing w:val="0"/>
                <w:kern w:val="0"/>
                <w:sz w:val="28"/>
                <w:szCs w:val="28"/>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b/>
                <w:bCs/>
                <w:color w:val="003366"/>
                <w:spacing w:val="0"/>
                <w:kern w:val="0"/>
                <w:sz w:val="28"/>
                <w:szCs w:val="28"/>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color w:val="auto"/>
                <w:spacing w:val="0"/>
                <w:kern w:val="0"/>
                <w:sz w:val="28"/>
                <w:szCs w:val="28"/>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Elephant" w:hAnsi="Elephant"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70"/>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b/>
                <w:bCs/>
                <w:color w:val="auto"/>
                <w:spacing w:val="0"/>
                <w:kern w:val="0"/>
                <w:sz w:val="18"/>
                <w:szCs w:val="18"/>
                <w:lang w:eastAsia="zh-CN"/>
              </w:rPr>
            </w:pPr>
            <w:r w:rsidRPr="004920C4">
              <w:rPr>
                <w:rFonts w:ascii="Tahoma" w:hAnsi="Tahoma" w:cs="Tahoma"/>
                <w:b/>
                <w:bCs/>
                <w:color w:val="auto"/>
                <w:spacing w:val="0"/>
                <w:kern w:val="0"/>
                <w:sz w:val="18"/>
                <w:szCs w:val="18"/>
                <w:lang w:eastAsia="zh-CN"/>
              </w:rPr>
              <w:t>Category</w:t>
            </w: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Tahoma" w:hAnsi="Tahoma" w:cs="Tahoma"/>
                <w:b/>
                <w:bCs/>
                <w:color w:val="auto"/>
                <w:spacing w:val="0"/>
                <w:kern w:val="0"/>
                <w:sz w:val="18"/>
                <w:szCs w:val="18"/>
                <w:lang w:eastAsia="zh-CN"/>
              </w:rPr>
            </w:pPr>
            <w:r w:rsidRPr="004920C4">
              <w:rPr>
                <w:rFonts w:ascii="Tahoma" w:hAnsi="Tahoma" w:cs="Tahoma"/>
                <w:b/>
                <w:bCs/>
                <w:color w:val="auto"/>
                <w:spacing w:val="0"/>
                <w:kern w:val="0"/>
                <w:sz w:val="18"/>
                <w:szCs w:val="18"/>
                <w:lang w:eastAsia="zh-CN"/>
              </w:rPr>
              <w:t>Parties</w:t>
            </w: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ascii="Tahoma" w:hAnsi="Tahoma" w:cs="Tahoma"/>
                <w:b/>
                <w:bCs/>
                <w:color w:val="auto"/>
                <w:spacing w:val="0"/>
                <w:kern w:val="0"/>
                <w:sz w:val="18"/>
                <w:szCs w:val="18"/>
                <w:lang w:eastAsia="zh-CN"/>
              </w:rPr>
            </w:pPr>
            <w:r w:rsidRPr="004920C4">
              <w:rPr>
                <w:rFonts w:ascii="Tahoma" w:hAnsi="Tahoma" w:cs="Tahoma"/>
                <w:b/>
                <w:bCs/>
                <w:color w:val="auto"/>
                <w:spacing w:val="0"/>
                <w:kern w:val="0"/>
                <w:sz w:val="18"/>
                <w:szCs w:val="18"/>
                <w:lang w:eastAsia="zh-CN"/>
              </w:rPr>
              <w:t>Percent</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Elephant" w:hAnsi="Elephant"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center"/>
              <w:rPr>
                <w:rFonts w:cs="Arial"/>
                <w:b/>
                <w:bCs/>
                <w:color w:val="auto"/>
                <w:spacing w:val="0"/>
                <w:kern w:val="0"/>
                <w:sz w:val="18"/>
                <w:szCs w:val="18"/>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r w:rsidRPr="004920C4">
              <w:rPr>
                <w:rFonts w:cs="Arial"/>
                <w:b/>
                <w:bCs/>
                <w:color w:val="auto"/>
                <w:spacing w:val="0"/>
                <w:kern w:val="0"/>
                <w:sz w:val="18"/>
                <w:szCs w:val="18"/>
                <w:lang w:eastAsia="zh-CN"/>
              </w:rPr>
              <w:t>Category 1</w:t>
            </w:r>
          </w:p>
        </w:tc>
        <w:tc>
          <w:tcPr>
            <w:tcW w:w="1286"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88</w:t>
            </w:r>
          </w:p>
        </w:tc>
        <w:tc>
          <w:tcPr>
            <w:tcW w:w="1253"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48.6%</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r w:rsidRPr="004920C4">
              <w:rPr>
                <w:rFonts w:cs="Arial"/>
                <w:b/>
                <w:bCs/>
                <w:color w:val="auto"/>
                <w:spacing w:val="0"/>
                <w:kern w:val="0"/>
                <w:sz w:val="18"/>
                <w:szCs w:val="18"/>
                <w:lang w:eastAsia="zh-CN"/>
              </w:rPr>
              <w:t>Category 2</w:t>
            </w: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49</w:t>
            </w: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27.1%</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r w:rsidRPr="004920C4">
              <w:rPr>
                <w:rFonts w:cs="Arial"/>
                <w:b/>
                <w:bCs/>
                <w:color w:val="auto"/>
                <w:spacing w:val="0"/>
                <w:kern w:val="0"/>
                <w:sz w:val="18"/>
                <w:szCs w:val="18"/>
                <w:lang w:eastAsia="zh-CN"/>
              </w:rPr>
              <w:t>Category 3</w:t>
            </w:r>
          </w:p>
        </w:tc>
        <w:tc>
          <w:tcPr>
            <w:tcW w:w="1286"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39</w:t>
            </w:r>
          </w:p>
        </w:tc>
        <w:tc>
          <w:tcPr>
            <w:tcW w:w="1253"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21.5%</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r w:rsidRPr="004920C4">
              <w:rPr>
                <w:rFonts w:cs="Arial"/>
                <w:b/>
                <w:bCs/>
                <w:color w:val="auto"/>
                <w:spacing w:val="0"/>
                <w:kern w:val="0"/>
                <w:sz w:val="18"/>
                <w:szCs w:val="18"/>
                <w:lang w:eastAsia="zh-CN"/>
              </w:rPr>
              <w:t>Pending</w:t>
            </w: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5</w:t>
            </w: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2.8%</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b/>
                <w:bCs/>
                <w:color w:val="auto"/>
                <w:spacing w:val="0"/>
                <w:kern w:val="0"/>
                <w:sz w:val="18"/>
                <w:szCs w:val="18"/>
                <w:lang w:eastAsia="zh-CN"/>
              </w:rPr>
            </w:pPr>
            <w:r w:rsidRPr="004920C4">
              <w:rPr>
                <w:rFonts w:cs="Arial"/>
                <w:b/>
                <w:bCs/>
                <w:color w:val="auto"/>
                <w:spacing w:val="0"/>
                <w:kern w:val="0"/>
                <w:sz w:val="18"/>
                <w:szCs w:val="18"/>
                <w:lang w:eastAsia="zh-CN"/>
              </w:rPr>
              <w:t>Total</w:t>
            </w:r>
          </w:p>
        </w:tc>
        <w:tc>
          <w:tcPr>
            <w:tcW w:w="1286"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181</w:t>
            </w:r>
          </w:p>
        </w:tc>
        <w:tc>
          <w:tcPr>
            <w:tcW w:w="1253" w:type="dxa"/>
            <w:tcBorders>
              <w:top w:val="nil"/>
              <w:left w:val="nil"/>
              <w:bottom w:val="nil"/>
              <w:right w:val="nil"/>
            </w:tcBorders>
            <w:shd w:val="clear" w:color="000000" w:fill="CCFFCC"/>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cs="Arial"/>
                <w:b/>
                <w:bCs/>
                <w:color w:val="auto"/>
                <w:spacing w:val="0"/>
                <w:kern w:val="0"/>
                <w:sz w:val="18"/>
                <w:szCs w:val="18"/>
                <w:lang w:eastAsia="zh-CN"/>
              </w:rPr>
            </w:pPr>
            <w:r w:rsidRPr="004920C4">
              <w:rPr>
                <w:rFonts w:cs="Arial"/>
                <w:b/>
                <w:bCs/>
                <w:color w:val="auto"/>
                <w:spacing w:val="0"/>
                <w:kern w:val="0"/>
                <w:sz w:val="18"/>
                <w:szCs w:val="18"/>
                <w:lang w:eastAsia="zh-CN"/>
              </w:rPr>
              <w:t>100.0%</w:t>
            </w: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360"/>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ascii="Arial Narrow" w:hAnsi="Arial Narrow" w:cs="Arial"/>
                <w:b/>
                <w:bCs/>
                <w:color w:val="auto"/>
                <w:spacing w:val="0"/>
                <w:kern w:val="0"/>
                <w:sz w:val="28"/>
                <w:szCs w:val="28"/>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ascii="Arial Narrow" w:hAnsi="Arial Narrow" w:cs="Arial"/>
                <w:b/>
                <w:bCs/>
                <w:color w:val="auto"/>
                <w:spacing w:val="0"/>
                <w:kern w:val="0"/>
                <w:sz w:val="28"/>
                <w:szCs w:val="28"/>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right"/>
              <w:rPr>
                <w:rFonts w:ascii="Arial Narrow" w:hAnsi="Arial Narrow" w:cs="Arial"/>
                <w:b/>
                <w:bCs/>
                <w:color w:val="auto"/>
                <w:spacing w:val="0"/>
                <w:kern w:val="0"/>
                <w:sz w:val="28"/>
                <w:szCs w:val="28"/>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r w:rsidR="004920C4" w:rsidRPr="004920C4" w:rsidTr="004920C4">
        <w:trPr>
          <w:trHeight w:val="255"/>
        </w:trPr>
        <w:tc>
          <w:tcPr>
            <w:tcW w:w="768"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677"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8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3"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125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c>
          <w:tcPr>
            <w:tcW w:w="976" w:type="dxa"/>
            <w:tcBorders>
              <w:top w:val="nil"/>
              <w:left w:val="nil"/>
              <w:bottom w:val="nil"/>
              <w:right w:val="nil"/>
            </w:tcBorders>
            <w:shd w:val="clear" w:color="auto" w:fill="auto"/>
            <w:noWrap/>
            <w:vAlign w:val="bottom"/>
            <w:hideMark/>
          </w:tcPr>
          <w:p w:rsidR="004920C4" w:rsidRPr="004920C4" w:rsidRDefault="004920C4" w:rsidP="004920C4">
            <w:pPr>
              <w:tabs>
                <w:tab w:val="clear" w:pos="397"/>
                <w:tab w:val="clear" w:pos="794"/>
                <w:tab w:val="clear" w:pos="1191"/>
                <w:tab w:val="clear" w:pos="1588"/>
                <w:tab w:val="clear" w:pos="1985"/>
              </w:tabs>
              <w:spacing w:after="0"/>
              <w:jc w:val="left"/>
              <w:rPr>
                <w:rFonts w:cs="Arial"/>
                <w:color w:val="auto"/>
                <w:spacing w:val="0"/>
                <w:kern w:val="0"/>
                <w:lang w:eastAsia="zh-CN"/>
              </w:rPr>
            </w:pPr>
          </w:p>
        </w:tc>
      </w:tr>
    </w:tbl>
    <w:p w:rsidR="00676F38" w:rsidRPr="008F525E" w:rsidRDefault="00525933" w:rsidP="00525933">
      <w:pPr>
        <w:rPr>
          <w:sz w:val="28"/>
          <w:szCs w:val="28"/>
          <w:u w:val="single"/>
        </w:rPr>
      </w:pPr>
      <w:r w:rsidRPr="008F525E">
        <w:rPr>
          <w:sz w:val="28"/>
          <w:szCs w:val="28"/>
          <w:u w:val="single"/>
        </w:rPr>
        <w:t>Countries that require priority attention</w:t>
      </w:r>
    </w:p>
    <w:p w:rsidR="00585D7B" w:rsidRPr="008F525E" w:rsidRDefault="00676F38" w:rsidP="00585D7B">
      <w:pPr>
        <w:pStyle w:val="hg1"/>
        <w:rPr>
          <w:sz w:val="28"/>
          <w:szCs w:val="28"/>
        </w:rPr>
      </w:pPr>
      <w:r w:rsidRPr="008F525E">
        <w:rPr>
          <w:sz w:val="28"/>
          <w:szCs w:val="28"/>
        </w:rPr>
        <w:tab/>
      </w:r>
      <w:r w:rsidR="00984CE5" w:rsidRPr="008F525E">
        <w:rPr>
          <w:sz w:val="28"/>
          <w:szCs w:val="28"/>
        </w:rPr>
        <w:t>T</w:t>
      </w:r>
      <w:r w:rsidR="00190B13" w:rsidRPr="008F525E">
        <w:rPr>
          <w:sz w:val="28"/>
          <w:szCs w:val="28"/>
        </w:rPr>
        <w:t>h</w:t>
      </w:r>
      <w:r w:rsidR="009F49A8" w:rsidRPr="008F525E">
        <w:rPr>
          <w:sz w:val="28"/>
          <w:szCs w:val="28"/>
        </w:rPr>
        <w:t>e CITES National Legislation Project has identified 17 countries that require attention as a priority</w:t>
      </w:r>
      <w:r w:rsidR="00585D7B" w:rsidRPr="008F525E">
        <w:rPr>
          <w:sz w:val="28"/>
          <w:szCs w:val="28"/>
        </w:rPr>
        <w:t>:</w:t>
      </w:r>
    </w:p>
    <w:p w:rsidR="009F49A8" w:rsidRPr="008F525E" w:rsidRDefault="00585D7B" w:rsidP="00585D7B">
      <w:pPr>
        <w:pStyle w:val="hg1"/>
        <w:jc w:val="left"/>
        <w:rPr>
          <w:sz w:val="28"/>
          <w:szCs w:val="28"/>
        </w:rPr>
      </w:pPr>
      <w:r w:rsidRPr="008F525E">
        <w:rPr>
          <w:sz w:val="28"/>
          <w:szCs w:val="28"/>
        </w:rPr>
        <w:tab/>
      </w:r>
      <w:r w:rsidR="009F49A8" w:rsidRPr="008F525E">
        <w:rPr>
          <w:sz w:val="28"/>
          <w:szCs w:val="28"/>
        </w:rPr>
        <w:t xml:space="preserve">Algeria, Belize, </w:t>
      </w:r>
      <w:proofErr w:type="spellStart"/>
      <w:r w:rsidR="009F49A8" w:rsidRPr="008F525E">
        <w:rPr>
          <w:sz w:val="28"/>
          <w:szCs w:val="28"/>
        </w:rPr>
        <w:t>Plurinational</w:t>
      </w:r>
      <w:proofErr w:type="spellEnd"/>
      <w:r w:rsidR="009F49A8" w:rsidRPr="008F525E">
        <w:rPr>
          <w:sz w:val="28"/>
          <w:szCs w:val="28"/>
        </w:rPr>
        <w:t xml:space="preserve"> State of Bolivia, Comoros, Djibouti, Guinea-Bissau, </w:t>
      </w:r>
      <w:r w:rsidRPr="008F525E">
        <w:rPr>
          <w:sz w:val="28"/>
          <w:szCs w:val="28"/>
        </w:rPr>
        <w:br/>
      </w:r>
      <w:r w:rsidR="009F49A8" w:rsidRPr="008F525E">
        <w:rPr>
          <w:sz w:val="28"/>
          <w:szCs w:val="28"/>
        </w:rPr>
        <w:t xml:space="preserve">Kazakhstan, Kenya, Liberia, Mauritania, Mozambique, Pakistan, Paraguay, Rwanda, </w:t>
      </w:r>
      <w:r w:rsidRPr="008F525E">
        <w:rPr>
          <w:sz w:val="28"/>
          <w:szCs w:val="28"/>
        </w:rPr>
        <w:br/>
      </w:r>
      <w:r w:rsidR="009F49A8" w:rsidRPr="008F525E">
        <w:rPr>
          <w:sz w:val="28"/>
          <w:szCs w:val="28"/>
        </w:rPr>
        <w:t>Somalia, United Republic of Tanzania and Bolivarian Republic of Venezuela.</w:t>
      </w:r>
      <w:r w:rsidR="008A08AB" w:rsidRPr="008F525E">
        <w:rPr>
          <w:sz w:val="28"/>
          <w:szCs w:val="28"/>
        </w:rPr>
        <w:t xml:space="preserve"> </w:t>
      </w:r>
      <w:r w:rsidRPr="008F525E">
        <w:rPr>
          <w:sz w:val="28"/>
          <w:szCs w:val="28"/>
        </w:rPr>
        <w:br/>
      </w:r>
      <w:r w:rsidR="008A08AB" w:rsidRPr="008F525E">
        <w:rPr>
          <w:sz w:val="28"/>
          <w:szCs w:val="28"/>
        </w:rPr>
        <w:t xml:space="preserve">11 countries are in Africa, 4 in Central, South America and the Caribbean and 2 in Asia </w:t>
      </w:r>
    </w:p>
    <w:p w:rsidR="008F525E" w:rsidRPr="008F525E" w:rsidRDefault="002A6323" w:rsidP="008F525E">
      <w:pPr>
        <w:pStyle w:val="hg1"/>
        <w:rPr>
          <w:sz w:val="28"/>
          <w:szCs w:val="28"/>
        </w:rPr>
      </w:pPr>
      <w:r w:rsidRPr="008F525E">
        <w:rPr>
          <w:sz w:val="28"/>
          <w:szCs w:val="28"/>
        </w:rPr>
        <w:tab/>
      </w:r>
      <w:r w:rsidR="00296609" w:rsidRPr="008F525E">
        <w:rPr>
          <w:sz w:val="28"/>
          <w:szCs w:val="28"/>
        </w:rPr>
        <w:t>T</w:t>
      </w:r>
      <w:r w:rsidRPr="008F525E">
        <w:rPr>
          <w:sz w:val="28"/>
          <w:szCs w:val="28"/>
        </w:rPr>
        <w:t xml:space="preserve">he authorities of Belize, </w:t>
      </w:r>
      <w:proofErr w:type="spellStart"/>
      <w:r w:rsidR="00296609" w:rsidRPr="008F525E">
        <w:rPr>
          <w:sz w:val="28"/>
          <w:szCs w:val="28"/>
        </w:rPr>
        <w:t>Plurinational</w:t>
      </w:r>
      <w:proofErr w:type="spellEnd"/>
      <w:r w:rsidR="00296609" w:rsidRPr="008F525E">
        <w:rPr>
          <w:sz w:val="28"/>
          <w:szCs w:val="28"/>
        </w:rPr>
        <w:t xml:space="preserve"> State of </w:t>
      </w:r>
      <w:r w:rsidRPr="008F525E">
        <w:rPr>
          <w:sz w:val="28"/>
          <w:szCs w:val="28"/>
        </w:rPr>
        <w:t xml:space="preserve">Bolivia, Kazakhstan, Kenya, Mauritania, Mozambique, Pakistan and Paraguay </w:t>
      </w:r>
      <w:r w:rsidR="00296609" w:rsidRPr="008F525E">
        <w:rPr>
          <w:sz w:val="28"/>
          <w:szCs w:val="28"/>
        </w:rPr>
        <w:t>have contacted the Secretariat to submit appropriate measures</w:t>
      </w:r>
      <w:r w:rsidR="00817A34" w:rsidRPr="008F525E">
        <w:rPr>
          <w:sz w:val="28"/>
          <w:szCs w:val="28"/>
        </w:rPr>
        <w:t xml:space="preserve"> that have been drafted or adopted for effective implementation of the Convention</w:t>
      </w:r>
      <w:r w:rsidR="00296609" w:rsidRPr="008F525E">
        <w:rPr>
          <w:sz w:val="28"/>
          <w:szCs w:val="28"/>
        </w:rPr>
        <w:t xml:space="preserve">, </w:t>
      </w:r>
      <w:r w:rsidR="00817A34" w:rsidRPr="008F525E">
        <w:rPr>
          <w:sz w:val="28"/>
          <w:szCs w:val="28"/>
        </w:rPr>
        <w:t xml:space="preserve">to </w:t>
      </w:r>
      <w:r w:rsidR="00296609" w:rsidRPr="008F525E">
        <w:rPr>
          <w:sz w:val="28"/>
          <w:szCs w:val="28"/>
        </w:rPr>
        <w:t xml:space="preserve">inform of progress made or </w:t>
      </w:r>
      <w:r w:rsidR="00817A34" w:rsidRPr="008F525E">
        <w:rPr>
          <w:sz w:val="28"/>
          <w:szCs w:val="28"/>
        </w:rPr>
        <w:t xml:space="preserve">to </w:t>
      </w:r>
      <w:r w:rsidR="00296609" w:rsidRPr="008F525E">
        <w:rPr>
          <w:sz w:val="28"/>
          <w:szCs w:val="28"/>
        </w:rPr>
        <w:t xml:space="preserve">request technical assistance. </w:t>
      </w:r>
    </w:p>
    <w:p w:rsidR="008F525E" w:rsidRDefault="008F525E" w:rsidP="008F525E">
      <w:pPr>
        <w:pStyle w:val="hg1"/>
        <w:rPr>
          <w:sz w:val="28"/>
          <w:szCs w:val="28"/>
        </w:rPr>
      </w:pPr>
      <w:r w:rsidRPr="008F525E">
        <w:rPr>
          <w:sz w:val="28"/>
          <w:szCs w:val="28"/>
        </w:rPr>
        <w:tab/>
        <w:t xml:space="preserve">The Standing Committee may </w:t>
      </w:r>
      <w:r>
        <w:rPr>
          <w:sz w:val="28"/>
          <w:szCs w:val="28"/>
        </w:rPr>
        <w:t xml:space="preserve">wish to </w:t>
      </w:r>
      <w:r w:rsidRPr="008F525E">
        <w:rPr>
          <w:sz w:val="28"/>
          <w:szCs w:val="28"/>
        </w:rPr>
        <w:t xml:space="preserve">recommend that commercial trade in specimens of CITES-listed species be suspended with  those Parties that required attention as a priority and have failed to adopt appropriate measures for the effective implementation of the Convention or agree an appropriate legislative timetable as required and that this recommendation take effect 60 days after the conclusion of SC66. </w:t>
      </w:r>
    </w:p>
    <w:p w:rsidR="000C6EAB" w:rsidRDefault="008F525E" w:rsidP="000C6EAB">
      <w:pPr>
        <w:pStyle w:val="hg1"/>
        <w:rPr>
          <w:b/>
          <w:bCs/>
          <w:sz w:val="28"/>
          <w:szCs w:val="28"/>
        </w:rPr>
      </w:pPr>
      <w:r>
        <w:rPr>
          <w:sz w:val="28"/>
          <w:szCs w:val="28"/>
        </w:rPr>
        <w:tab/>
      </w:r>
      <w:r w:rsidRPr="008F525E">
        <w:rPr>
          <w:sz w:val="28"/>
          <w:szCs w:val="28"/>
        </w:rPr>
        <w:t xml:space="preserve">Parties </w:t>
      </w:r>
      <w:r>
        <w:rPr>
          <w:sz w:val="28"/>
          <w:szCs w:val="28"/>
        </w:rPr>
        <w:t xml:space="preserve">that would be </w:t>
      </w:r>
      <w:r w:rsidRPr="008F525E">
        <w:rPr>
          <w:sz w:val="28"/>
          <w:szCs w:val="28"/>
        </w:rPr>
        <w:t xml:space="preserve">affected by this </w:t>
      </w:r>
      <w:r>
        <w:rPr>
          <w:sz w:val="28"/>
          <w:szCs w:val="28"/>
        </w:rPr>
        <w:t xml:space="preserve">potential </w:t>
      </w:r>
      <w:r w:rsidRPr="008F525E">
        <w:rPr>
          <w:sz w:val="28"/>
          <w:szCs w:val="28"/>
        </w:rPr>
        <w:t xml:space="preserve">compliance measure are: </w:t>
      </w:r>
      <w:r w:rsidRPr="008F525E">
        <w:rPr>
          <w:b/>
          <w:bCs/>
          <w:sz w:val="28"/>
          <w:szCs w:val="28"/>
        </w:rPr>
        <w:t>Algeria, Comoros, Guinea-Bissau, Liberia, Rwanda, United Republic of Tanzania and Bolivarian Republic of Venezuela.</w:t>
      </w:r>
    </w:p>
    <w:p w:rsidR="000C6EAB" w:rsidRDefault="000C6EAB" w:rsidP="000C6EAB">
      <w:pPr>
        <w:pStyle w:val="hg1"/>
        <w:rPr>
          <w:b/>
          <w:bCs/>
          <w:sz w:val="28"/>
          <w:szCs w:val="28"/>
        </w:rPr>
      </w:pPr>
    </w:p>
    <w:p w:rsidR="000C6EAB" w:rsidRPr="000C6EAB" w:rsidRDefault="000C6EAB" w:rsidP="000C6EAB">
      <w:pPr>
        <w:pStyle w:val="hg1"/>
      </w:pPr>
      <w:r w:rsidRPr="000C6EAB">
        <w:tab/>
      </w:r>
      <w:r>
        <w:t xml:space="preserve">Disclaimer: </w:t>
      </w:r>
      <w:bookmarkStart w:id="0" w:name="_GoBack"/>
      <w:bookmarkEnd w:id="0"/>
      <w:r w:rsidRPr="000C6EAB">
        <w:t>Legislation enacted by non-Parties or territories that are under dispute or that are not recognized by the United Nations is not included in the NLP. Nothing in the NLP prejudices the claims and legal views of any Party concerning the legal status of any country, territory, or area, or concerning the delimitation of its frontiers or boundaries. The assessment of national legislation to implement CITES does not imply the expression of any opinion whatsoever on the part of the CITES Secretariat or the United Nations Environment Programme concerning those matters.</w:t>
      </w:r>
    </w:p>
    <w:sectPr w:rsidR="000C6EAB" w:rsidRPr="000C6EAB" w:rsidSect="002E6494">
      <w:footerReference w:type="default" r:id="rId10"/>
      <w:type w:val="continuous"/>
      <w:pgSz w:w="16840" w:h="11907" w:orient="landscape" w:code="9"/>
      <w:pgMar w:top="1134" w:right="1134" w:bottom="1134" w:left="1134" w:header="0" w:footer="567" w:gutter="0"/>
      <w:cols w: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BC" w:rsidRDefault="004B0CBC">
      <w:r>
        <w:separator/>
      </w:r>
    </w:p>
  </w:endnote>
  <w:endnote w:type="continuationSeparator" w:id="0">
    <w:p w:rsidR="004B0CBC" w:rsidRDefault="004B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71" w:rsidRDefault="003C1871" w:rsidP="00B0651A">
    <w:pPr>
      <w:pStyle w:val="Footer"/>
      <w:rPr>
        <w:rStyle w:val="PageNumber"/>
      </w:rPr>
    </w:pPr>
    <w:r>
      <w:t>SC6</w:t>
    </w:r>
    <w:r w:rsidR="00623642">
      <w:t>6</w:t>
    </w:r>
    <w:r>
      <w:t xml:space="preserve"> Doc. </w:t>
    </w:r>
    <w:r w:rsidR="00B0651A">
      <w:t xml:space="preserve">National Laws – Agenda item </w:t>
    </w:r>
    <w:r w:rsidR="004D4676">
      <w:t>26</w:t>
    </w:r>
    <w:r>
      <w:rPr>
        <w:rStyle w:val="PageNumber"/>
      </w:rPr>
      <w:t xml:space="preserve"> – p. </w:t>
    </w:r>
    <w:r>
      <w:rPr>
        <w:rStyle w:val="PageNumber"/>
      </w:rPr>
      <w:fldChar w:fldCharType="begin"/>
    </w:r>
    <w:r>
      <w:rPr>
        <w:rStyle w:val="PageNumber"/>
      </w:rPr>
      <w:instrText xml:space="preserve"> PAGE </w:instrText>
    </w:r>
    <w:r>
      <w:rPr>
        <w:rStyle w:val="PageNumber"/>
      </w:rPr>
      <w:fldChar w:fldCharType="separate"/>
    </w:r>
    <w:r w:rsidR="000C6EA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BC" w:rsidRDefault="004B0CBC">
      <w:pPr>
        <w:spacing w:before="100" w:after="0"/>
      </w:pPr>
      <w:r>
        <w:separator/>
      </w:r>
    </w:p>
  </w:footnote>
  <w:footnote w:type="continuationSeparator" w:id="0">
    <w:p w:rsidR="004B0CBC" w:rsidRDefault="004B0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2F"/>
    <w:rsid w:val="00004CD7"/>
    <w:rsid w:val="000751D4"/>
    <w:rsid w:val="000C03C1"/>
    <w:rsid w:val="000C6EAB"/>
    <w:rsid w:val="000E79D7"/>
    <w:rsid w:val="001027F3"/>
    <w:rsid w:val="00190B13"/>
    <w:rsid w:val="001B7E4A"/>
    <w:rsid w:val="001D647E"/>
    <w:rsid w:val="001E3F7E"/>
    <w:rsid w:val="0025536F"/>
    <w:rsid w:val="00275D82"/>
    <w:rsid w:val="002829FD"/>
    <w:rsid w:val="00296609"/>
    <w:rsid w:val="002A4C6E"/>
    <w:rsid w:val="002A6323"/>
    <w:rsid w:val="002E042B"/>
    <w:rsid w:val="002E6494"/>
    <w:rsid w:val="00320CA0"/>
    <w:rsid w:val="0035553A"/>
    <w:rsid w:val="003C1871"/>
    <w:rsid w:val="003C209A"/>
    <w:rsid w:val="00402829"/>
    <w:rsid w:val="004214AF"/>
    <w:rsid w:val="004259BB"/>
    <w:rsid w:val="004920C4"/>
    <w:rsid w:val="004B0CBC"/>
    <w:rsid w:val="004D4676"/>
    <w:rsid w:val="00525933"/>
    <w:rsid w:val="00543270"/>
    <w:rsid w:val="00585D7B"/>
    <w:rsid w:val="0059159A"/>
    <w:rsid w:val="0060528F"/>
    <w:rsid w:val="00623642"/>
    <w:rsid w:val="006428F4"/>
    <w:rsid w:val="00676F38"/>
    <w:rsid w:val="006F452F"/>
    <w:rsid w:val="007701F0"/>
    <w:rsid w:val="00796809"/>
    <w:rsid w:val="007C23B6"/>
    <w:rsid w:val="007D4DA3"/>
    <w:rsid w:val="00817A34"/>
    <w:rsid w:val="00854E96"/>
    <w:rsid w:val="00866DE2"/>
    <w:rsid w:val="0088055F"/>
    <w:rsid w:val="008844B4"/>
    <w:rsid w:val="008A08AB"/>
    <w:rsid w:val="008E11F4"/>
    <w:rsid w:val="008F525E"/>
    <w:rsid w:val="009229D9"/>
    <w:rsid w:val="00930030"/>
    <w:rsid w:val="009355F5"/>
    <w:rsid w:val="00960A34"/>
    <w:rsid w:val="00963664"/>
    <w:rsid w:val="009738CA"/>
    <w:rsid w:val="00984CE5"/>
    <w:rsid w:val="009A0488"/>
    <w:rsid w:val="009A4897"/>
    <w:rsid w:val="009A6842"/>
    <w:rsid w:val="009D6B1E"/>
    <w:rsid w:val="009F49A8"/>
    <w:rsid w:val="009F7E7C"/>
    <w:rsid w:val="00A074ED"/>
    <w:rsid w:val="00AA793C"/>
    <w:rsid w:val="00B0651A"/>
    <w:rsid w:val="00BB6706"/>
    <w:rsid w:val="00BC5AC6"/>
    <w:rsid w:val="00C31E13"/>
    <w:rsid w:val="00C5107F"/>
    <w:rsid w:val="00C76A32"/>
    <w:rsid w:val="00CA0181"/>
    <w:rsid w:val="00CB3E71"/>
    <w:rsid w:val="00D10035"/>
    <w:rsid w:val="00D661D6"/>
    <w:rsid w:val="00DE4B08"/>
    <w:rsid w:val="00E44BC6"/>
    <w:rsid w:val="00E50CD6"/>
    <w:rsid w:val="00E63A13"/>
    <w:rsid w:val="00EA4590"/>
    <w:rsid w:val="00ED7A2B"/>
    <w:rsid w:val="00EF4903"/>
    <w:rsid w:val="00F32C6B"/>
    <w:rsid w:val="00FF63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keepLines/>
      <w:widowControl w:val="0"/>
      <w:tabs>
        <w:tab w:val="clear" w:pos="1985"/>
        <w:tab w:val="right" w:leader="dot" w:pos="9639"/>
      </w:tabs>
      <w:suppressAutoHyphens/>
      <w:jc w:val="left"/>
      <w:outlineLvl w:val="0"/>
    </w:pPr>
    <w:rPr>
      <w:b/>
      <w:snapToGrid w:val="0"/>
    </w:rPr>
  </w:style>
  <w:style w:type="paragraph" w:styleId="Heading2">
    <w:name w:val="heading 2"/>
    <w:basedOn w:val="Normal"/>
    <w:next w:val="Normal"/>
    <w:qFormat/>
    <w:pPr>
      <w:keepNext/>
      <w:widowControl w:val="0"/>
      <w:tabs>
        <w:tab w:val="left" w:pos="0"/>
      </w:tabs>
      <w:suppressAutoHyphens/>
      <w:jc w:val="center"/>
      <w:outlineLvl w:val="1"/>
    </w:pPr>
    <w:rPr>
      <w:rFonts w:ascii="Univers" w:hAnsi="Univer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97"/>
        <w:tab w:val="clear" w:pos="794"/>
        <w:tab w:val="clear" w:pos="1191"/>
        <w:tab w:val="clear" w:pos="1588"/>
        <w:tab w:val="clear" w:pos="1985"/>
        <w:tab w:val="center" w:pos="4320"/>
        <w:tab w:val="right" w:pos="8640"/>
      </w:tabs>
    </w:pPr>
  </w:style>
  <w:style w:type="paragraph" w:customStyle="1" w:styleId="anneX">
    <w:name w:val="anneX"/>
    <w:basedOn w:val="Normal"/>
    <w:next w:val="Normal"/>
    <w:pPr>
      <w:keepNext/>
      <w:shd w:val="clear" w:color="auto" w:fill="CCCCCC"/>
      <w:jc w:val="center"/>
    </w:pPr>
    <w:rPr>
      <w:b/>
      <w:bCs/>
    </w:rPr>
  </w:style>
  <w:style w:type="paragraph" w:styleId="Footer">
    <w:name w:val="footer"/>
    <w:basedOn w:val="Normal"/>
    <w:pPr>
      <w:widowControl w:val="0"/>
      <w:spacing w:after="0"/>
      <w:jc w:val="center"/>
    </w:pPr>
  </w:style>
  <w:style w:type="character" w:styleId="PageNumber">
    <w:name w:val="page number"/>
    <w:rPr>
      <w:rFonts w:ascii="Arial" w:hAnsi="Arial"/>
      <w:noProof w:val="0"/>
      <w:spacing w:val="-2"/>
      <w:w w:val="100"/>
      <w:kern w:val="20"/>
      <w:position w:val="0"/>
      <w:sz w:val="20"/>
      <w:lang w:val="en-GB"/>
    </w:rPr>
  </w:style>
  <w:style w:type="paragraph" w:styleId="FootnoteText">
    <w:name w:val="footnote text"/>
    <w:basedOn w:val="Footnote"/>
    <w:next w:val="Normal"/>
    <w:semiHidden/>
  </w:style>
  <w:style w:type="paragraph" w:customStyle="1" w:styleId="Footnote">
    <w:name w:val="Footnote"/>
    <w:basedOn w:val="hg1"/>
    <w:next w:val="Normal"/>
    <w:pPr>
      <w:spacing w:before="100" w:after="0"/>
    </w:pPr>
    <w:rPr>
      <w:i/>
      <w:kern w:val="16"/>
      <w:sz w:val="16"/>
    </w:rPr>
  </w:style>
  <w:style w:type="paragraph" w:customStyle="1" w:styleId="hg1">
    <w:name w:val="hg1"/>
    <w:basedOn w:val="Normal"/>
    <w:next w:val="Normal"/>
    <w:link w:val="hg1Char"/>
    <w:pPr>
      <w:ind w:left="397" w:hanging="397"/>
    </w:pPr>
  </w:style>
  <w:style w:type="paragraph" w:customStyle="1" w:styleId="hg2">
    <w:name w:val="hg2"/>
    <w:basedOn w:val="Normal"/>
    <w:next w:val="Normal"/>
    <w:pPr>
      <w:ind w:left="794" w:hanging="794"/>
    </w:pPr>
  </w:style>
  <w:style w:type="paragraph" w:customStyle="1" w:styleId="hg3">
    <w:name w:val="hg3"/>
    <w:basedOn w:val="Normal"/>
    <w:next w:val="Normal"/>
    <w:pPr>
      <w:ind w:left="1191" w:hanging="1191"/>
    </w:pPr>
  </w:style>
  <w:style w:type="paragraph" w:customStyle="1" w:styleId="hg4">
    <w:name w:val="hg4"/>
    <w:basedOn w:val="Normal"/>
    <w:next w:val="Normal"/>
    <w:pPr>
      <w:ind w:left="1588" w:hanging="1588"/>
    </w:pPr>
  </w:style>
  <w:style w:type="paragraph" w:customStyle="1" w:styleId="hg5">
    <w:name w:val="hg5"/>
    <w:basedOn w:val="Normal"/>
    <w:next w:val="Normal"/>
    <w:pPr>
      <w:ind w:left="1985" w:hanging="1985"/>
    </w:pPr>
  </w:style>
  <w:style w:type="paragraph" w:customStyle="1" w:styleId="Title-start">
    <w:name w:val="Title-start"/>
    <w:basedOn w:val="Normal"/>
    <w:next w:val="Normal"/>
    <w:pPr>
      <w:keepNext/>
      <w:keepLines/>
      <w:widowControl w:val="0"/>
      <w:suppressAutoHyphens/>
      <w:jc w:val="center"/>
      <w:outlineLvl w:val="0"/>
    </w:pPr>
    <w:rPr>
      <w:u w:val="single"/>
    </w:rPr>
  </w:style>
  <w:style w:type="paragraph" w:customStyle="1" w:styleId="Hd7">
    <w:name w:val="Hd7"/>
    <w:basedOn w:val="Title-end"/>
    <w:next w:val="Normal"/>
    <w:pPr>
      <w:spacing w:after="240"/>
      <w:outlineLvl w:val="9"/>
    </w:pPr>
  </w:style>
  <w:style w:type="paragraph" w:customStyle="1" w:styleId="Title-end">
    <w:name w:val="Title-end"/>
    <w:basedOn w:val="Normal"/>
    <w:next w:val="Normal"/>
    <w:pPr>
      <w:keepNext/>
      <w:keepLines/>
      <w:widowControl w:val="0"/>
      <w:suppressAutoHyphens/>
      <w:spacing w:after="480"/>
      <w:jc w:val="center"/>
      <w:outlineLvl w:val="1"/>
    </w:pPr>
    <w:rPr>
      <w:caps/>
    </w:rPr>
  </w:style>
  <w:style w:type="paragraph" w:customStyle="1" w:styleId="Hd0">
    <w:name w:val="Hd0"/>
    <w:basedOn w:val="Normal"/>
    <w:next w:val="Normal"/>
    <w:link w:val="Hd0Char"/>
    <w:pPr>
      <w:keepNext/>
      <w:keepLines/>
      <w:widowControl w:val="0"/>
      <w:suppressAutoHyphens/>
      <w:jc w:val="left"/>
    </w:pPr>
    <w:rPr>
      <w:u w:val="single"/>
    </w:rPr>
  </w:style>
  <w:style w:type="character" w:customStyle="1" w:styleId="Hd0Char">
    <w:name w:val="Hd0 Char"/>
    <w:link w:val="Hd0"/>
    <w:rPr>
      <w:rFonts w:ascii="Univers" w:hAnsi="Univers"/>
      <w:color w:val="000000"/>
      <w:spacing w:val="-2"/>
      <w:kern w:val="20"/>
      <w:u w:val="single"/>
      <w:lang w:val="en-GB" w:eastAsia="en-US" w:bidi="ar-SA"/>
    </w:rPr>
  </w:style>
  <w:style w:type="paragraph" w:customStyle="1" w:styleId="Hd1">
    <w:name w:val="Hd1"/>
    <w:basedOn w:val="Hd0"/>
    <w:next w:val="Normal"/>
    <w:pPr>
      <w:ind w:left="397"/>
    </w:pPr>
  </w:style>
  <w:style w:type="paragraph" w:customStyle="1" w:styleId="Hd3">
    <w:name w:val="Hd3"/>
    <w:basedOn w:val="Hd0"/>
    <w:next w:val="Normal"/>
    <w:pPr>
      <w:ind w:left="1191"/>
    </w:pPr>
  </w:style>
  <w:style w:type="paragraph" w:customStyle="1" w:styleId="Hd2">
    <w:name w:val="Hd2"/>
    <w:basedOn w:val="Hd0"/>
    <w:next w:val="Normal"/>
    <w:pPr>
      <w:ind w:left="794"/>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Hd6">
    <w:name w:val="Hd6"/>
    <w:basedOn w:val="Title-start"/>
    <w:next w:val="Normal"/>
    <w:pPr>
      <w:outlineLvl w:val="9"/>
    </w:pPr>
  </w:style>
  <w:style w:type="character" w:styleId="FootnoteReference">
    <w:name w:val="footnote reference"/>
    <w:semiHidden/>
    <w:rPr>
      <w:vertAlign w:val="superscript"/>
    </w:rPr>
  </w:style>
  <w:style w:type="paragraph" w:customStyle="1" w:styleId="Venue">
    <w:name w:val="Venue"/>
    <w:basedOn w:val="Normal"/>
    <w:next w:val="Normal"/>
    <w:pPr>
      <w:keepNext/>
      <w:keepLines/>
      <w:widowControl w:val="0"/>
      <w:suppressAutoHyphens/>
      <w:spacing w:after="480"/>
      <w:jc w:val="center"/>
    </w:pPr>
  </w:style>
  <w:style w:type="paragraph" w:customStyle="1" w:styleId="CITES">
    <w:name w:val="CITES"/>
    <w:basedOn w:val="Normal"/>
    <w:next w:val="Normal"/>
    <w:pPr>
      <w:suppressAutoHyphens/>
      <w:jc w:val="center"/>
    </w:pPr>
    <w:rPr>
      <w:caps/>
    </w:rPr>
  </w:style>
  <w:style w:type="paragraph" w:customStyle="1" w:styleId="No">
    <w:name w:val="No"/>
    <w:basedOn w:val="Normal"/>
    <w:next w:val="Normal"/>
    <w:pPr>
      <w:keepNext/>
      <w:keepLines/>
      <w:widowControl w:val="0"/>
      <w:suppressAutoHyphens/>
      <w:jc w:val="right"/>
    </w:pPr>
  </w:style>
  <w:style w:type="character" w:customStyle="1" w:styleId="strike">
    <w:name w:val="strike"/>
    <w:rPr>
      <w:rFonts w:ascii="Arial" w:hAnsi="Arial"/>
      <w:strike/>
      <w:dstrike w:val="0"/>
    </w:rPr>
  </w:style>
  <w:style w:type="character" w:customStyle="1" w:styleId="hg1Char">
    <w:name w:val="hg1 Char"/>
    <w:link w:val="hg1"/>
    <w:locked/>
    <w:rsid w:val="0059159A"/>
    <w:rPr>
      <w:rFonts w:ascii="Arial" w:hAnsi="Arial"/>
      <w:color w:val="000000"/>
      <w:spacing w:val="-2"/>
      <w:kern w:val="20"/>
      <w:lang w:eastAsia="en-US"/>
    </w:rPr>
  </w:style>
  <w:style w:type="character" w:styleId="Hyperlink">
    <w:name w:val="Hyperlink"/>
    <w:basedOn w:val="DefaultParagraphFont"/>
    <w:rsid w:val="009A4897"/>
    <w:rPr>
      <w:color w:val="0000FF" w:themeColor="hyperlink"/>
      <w:u w:val="single"/>
    </w:rPr>
  </w:style>
  <w:style w:type="character" w:styleId="CommentReference">
    <w:name w:val="annotation reference"/>
    <w:basedOn w:val="DefaultParagraphFont"/>
    <w:rsid w:val="00E50CD6"/>
    <w:rPr>
      <w:sz w:val="16"/>
      <w:szCs w:val="16"/>
    </w:rPr>
  </w:style>
  <w:style w:type="paragraph" w:styleId="CommentText">
    <w:name w:val="annotation text"/>
    <w:basedOn w:val="Normal"/>
    <w:link w:val="CommentTextChar"/>
    <w:rsid w:val="00E50CD6"/>
  </w:style>
  <w:style w:type="character" w:customStyle="1" w:styleId="CommentTextChar">
    <w:name w:val="Comment Text Char"/>
    <w:basedOn w:val="DefaultParagraphFont"/>
    <w:link w:val="CommentText"/>
    <w:rsid w:val="00E50CD6"/>
    <w:rPr>
      <w:rFonts w:ascii="Arial" w:hAnsi="Arial"/>
      <w:color w:val="000000"/>
      <w:spacing w:val="-2"/>
      <w:kern w:val="20"/>
      <w:lang w:eastAsia="en-US"/>
    </w:rPr>
  </w:style>
  <w:style w:type="paragraph" w:styleId="CommentSubject">
    <w:name w:val="annotation subject"/>
    <w:basedOn w:val="CommentText"/>
    <w:next w:val="CommentText"/>
    <w:link w:val="CommentSubjectChar"/>
    <w:rsid w:val="00E50CD6"/>
    <w:rPr>
      <w:b/>
      <w:bCs/>
    </w:rPr>
  </w:style>
  <w:style w:type="character" w:customStyle="1" w:styleId="CommentSubjectChar">
    <w:name w:val="Comment Subject Char"/>
    <w:basedOn w:val="CommentTextChar"/>
    <w:link w:val="CommentSubject"/>
    <w:rsid w:val="00E50CD6"/>
    <w:rPr>
      <w:rFonts w:ascii="Arial" w:hAnsi="Arial"/>
      <w:b/>
      <w:bCs/>
      <w:color w:val="000000"/>
      <w:spacing w:val="-2"/>
      <w:kern w:val="20"/>
      <w:lang w:eastAsia="en-US"/>
    </w:rPr>
  </w:style>
  <w:style w:type="paragraph" w:styleId="BalloonText">
    <w:name w:val="Balloon Text"/>
    <w:basedOn w:val="Normal"/>
    <w:link w:val="BalloonTextChar"/>
    <w:rsid w:val="00E50CD6"/>
    <w:pPr>
      <w:spacing w:after="0"/>
    </w:pPr>
    <w:rPr>
      <w:rFonts w:ascii="Tahoma" w:hAnsi="Tahoma" w:cs="Tahoma"/>
      <w:sz w:val="16"/>
      <w:szCs w:val="16"/>
    </w:rPr>
  </w:style>
  <w:style w:type="character" w:customStyle="1" w:styleId="BalloonTextChar">
    <w:name w:val="Balloon Text Char"/>
    <w:basedOn w:val="DefaultParagraphFont"/>
    <w:link w:val="BalloonText"/>
    <w:rsid w:val="00E50CD6"/>
    <w:rPr>
      <w:rFonts w:ascii="Tahoma" w:hAnsi="Tahoma" w:cs="Tahoma"/>
      <w:color w:val="000000"/>
      <w:spacing w:val="-2"/>
      <w:kern w:val="2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keepLines/>
      <w:widowControl w:val="0"/>
      <w:tabs>
        <w:tab w:val="clear" w:pos="1985"/>
        <w:tab w:val="right" w:leader="dot" w:pos="9639"/>
      </w:tabs>
      <w:suppressAutoHyphens/>
      <w:jc w:val="left"/>
      <w:outlineLvl w:val="0"/>
    </w:pPr>
    <w:rPr>
      <w:b/>
      <w:snapToGrid w:val="0"/>
    </w:rPr>
  </w:style>
  <w:style w:type="paragraph" w:styleId="Heading2">
    <w:name w:val="heading 2"/>
    <w:basedOn w:val="Normal"/>
    <w:next w:val="Normal"/>
    <w:qFormat/>
    <w:pPr>
      <w:keepNext/>
      <w:widowControl w:val="0"/>
      <w:tabs>
        <w:tab w:val="left" w:pos="0"/>
      </w:tabs>
      <w:suppressAutoHyphens/>
      <w:jc w:val="center"/>
      <w:outlineLvl w:val="1"/>
    </w:pPr>
    <w:rPr>
      <w:rFonts w:ascii="Univers" w:hAnsi="Univer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97"/>
        <w:tab w:val="clear" w:pos="794"/>
        <w:tab w:val="clear" w:pos="1191"/>
        <w:tab w:val="clear" w:pos="1588"/>
        <w:tab w:val="clear" w:pos="1985"/>
        <w:tab w:val="center" w:pos="4320"/>
        <w:tab w:val="right" w:pos="8640"/>
      </w:tabs>
    </w:pPr>
  </w:style>
  <w:style w:type="paragraph" w:customStyle="1" w:styleId="anneX">
    <w:name w:val="anneX"/>
    <w:basedOn w:val="Normal"/>
    <w:next w:val="Normal"/>
    <w:pPr>
      <w:keepNext/>
      <w:shd w:val="clear" w:color="auto" w:fill="CCCCCC"/>
      <w:jc w:val="center"/>
    </w:pPr>
    <w:rPr>
      <w:b/>
      <w:bCs/>
    </w:rPr>
  </w:style>
  <w:style w:type="paragraph" w:styleId="Footer">
    <w:name w:val="footer"/>
    <w:basedOn w:val="Normal"/>
    <w:pPr>
      <w:widowControl w:val="0"/>
      <w:spacing w:after="0"/>
      <w:jc w:val="center"/>
    </w:pPr>
  </w:style>
  <w:style w:type="character" w:styleId="PageNumber">
    <w:name w:val="page number"/>
    <w:rPr>
      <w:rFonts w:ascii="Arial" w:hAnsi="Arial"/>
      <w:noProof w:val="0"/>
      <w:spacing w:val="-2"/>
      <w:w w:val="100"/>
      <w:kern w:val="20"/>
      <w:position w:val="0"/>
      <w:sz w:val="20"/>
      <w:lang w:val="en-GB"/>
    </w:rPr>
  </w:style>
  <w:style w:type="paragraph" w:styleId="FootnoteText">
    <w:name w:val="footnote text"/>
    <w:basedOn w:val="Footnote"/>
    <w:next w:val="Normal"/>
    <w:semiHidden/>
  </w:style>
  <w:style w:type="paragraph" w:customStyle="1" w:styleId="Footnote">
    <w:name w:val="Footnote"/>
    <w:basedOn w:val="hg1"/>
    <w:next w:val="Normal"/>
    <w:pPr>
      <w:spacing w:before="100" w:after="0"/>
    </w:pPr>
    <w:rPr>
      <w:i/>
      <w:kern w:val="16"/>
      <w:sz w:val="16"/>
    </w:rPr>
  </w:style>
  <w:style w:type="paragraph" w:customStyle="1" w:styleId="hg1">
    <w:name w:val="hg1"/>
    <w:basedOn w:val="Normal"/>
    <w:next w:val="Normal"/>
    <w:link w:val="hg1Char"/>
    <w:pPr>
      <w:ind w:left="397" w:hanging="397"/>
    </w:pPr>
  </w:style>
  <w:style w:type="paragraph" w:customStyle="1" w:styleId="hg2">
    <w:name w:val="hg2"/>
    <w:basedOn w:val="Normal"/>
    <w:next w:val="Normal"/>
    <w:pPr>
      <w:ind w:left="794" w:hanging="794"/>
    </w:pPr>
  </w:style>
  <w:style w:type="paragraph" w:customStyle="1" w:styleId="hg3">
    <w:name w:val="hg3"/>
    <w:basedOn w:val="Normal"/>
    <w:next w:val="Normal"/>
    <w:pPr>
      <w:ind w:left="1191" w:hanging="1191"/>
    </w:pPr>
  </w:style>
  <w:style w:type="paragraph" w:customStyle="1" w:styleId="hg4">
    <w:name w:val="hg4"/>
    <w:basedOn w:val="Normal"/>
    <w:next w:val="Normal"/>
    <w:pPr>
      <w:ind w:left="1588" w:hanging="1588"/>
    </w:pPr>
  </w:style>
  <w:style w:type="paragraph" w:customStyle="1" w:styleId="hg5">
    <w:name w:val="hg5"/>
    <w:basedOn w:val="Normal"/>
    <w:next w:val="Normal"/>
    <w:pPr>
      <w:ind w:left="1985" w:hanging="1985"/>
    </w:pPr>
  </w:style>
  <w:style w:type="paragraph" w:customStyle="1" w:styleId="Title-start">
    <w:name w:val="Title-start"/>
    <w:basedOn w:val="Normal"/>
    <w:next w:val="Normal"/>
    <w:pPr>
      <w:keepNext/>
      <w:keepLines/>
      <w:widowControl w:val="0"/>
      <w:suppressAutoHyphens/>
      <w:jc w:val="center"/>
      <w:outlineLvl w:val="0"/>
    </w:pPr>
    <w:rPr>
      <w:u w:val="single"/>
    </w:rPr>
  </w:style>
  <w:style w:type="paragraph" w:customStyle="1" w:styleId="Hd7">
    <w:name w:val="Hd7"/>
    <w:basedOn w:val="Title-end"/>
    <w:next w:val="Normal"/>
    <w:pPr>
      <w:spacing w:after="240"/>
      <w:outlineLvl w:val="9"/>
    </w:pPr>
  </w:style>
  <w:style w:type="paragraph" w:customStyle="1" w:styleId="Title-end">
    <w:name w:val="Title-end"/>
    <w:basedOn w:val="Normal"/>
    <w:next w:val="Normal"/>
    <w:pPr>
      <w:keepNext/>
      <w:keepLines/>
      <w:widowControl w:val="0"/>
      <w:suppressAutoHyphens/>
      <w:spacing w:after="480"/>
      <w:jc w:val="center"/>
      <w:outlineLvl w:val="1"/>
    </w:pPr>
    <w:rPr>
      <w:caps/>
    </w:rPr>
  </w:style>
  <w:style w:type="paragraph" w:customStyle="1" w:styleId="Hd0">
    <w:name w:val="Hd0"/>
    <w:basedOn w:val="Normal"/>
    <w:next w:val="Normal"/>
    <w:link w:val="Hd0Char"/>
    <w:pPr>
      <w:keepNext/>
      <w:keepLines/>
      <w:widowControl w:val="0"/>
      <w:suppressAutoHyphens/>
      <w:jc w:val="left"/>
    </w:pPr>
    <w:rPr>
      <w:u w:val="single"/>
    </w:rPr>
  </w:style>
  <w:style w:type="character" w:customStyle="1" w:styleId="Hd0Char">
    <w:name w:val="Hd0 Char"/>
    <w:link w:val="Hd0"/>
    <w:rPr>
      <w:rFonts w:ascii="Univers" w:hAnsi="Univers"/>
      <w:color w:val="000000"/>
      <w:spacing w:val="-2"/>
      <w:kern w:val="20"/>
      <w:u w:val="single"/>
      <w:lang w:val="en-GB" w:eastAsia="en-US" w:bidi="ar-SA"/>
    </w:rPr>
  </w:style>
  <w:style w:type="paragraph" w:customStyle="1" w:styleId="Hd1">
    <w:name w:val="Hd1"/>
    <w:basedOn w:val="Hd0"/>
    <w:next w:val="Normal"/>
    <w:pPr>
      <w:ind w:left="397"/>
    </w:pPr>
  </w:style>
  <w:style w:type="paragraph" w:customStyle="1" w:styleId="Hd3">
    <w:name w:val="Hd3"/>
    <w:basedOn w:val="Hd0"/>
    <w:next w:val="Normal"/>
    <w:pPr>
      <w:ind w:left="1191"/>
    </w:pPr>
  </w:style>
  <w:style w:type="paragraph" w:customStyle="1" w:styleId="Hd2">
    <w:name w:val="Hd2"/>
    <w:basedOn w:val="Hd0"/>
    <w:next w:val="Normal"/>
    <w:pPr>
      <w:ind w:left="794"/>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Hd6">
    <w:name w:val="Hd6"/>
    <w:basedOn w:val="Title-start"/>
    <w:next w:val="Normal"/>
    <w:pPr>
      <w:outlineLvl w:val="9"/>
    </w:pPr>
  </w:style>
  <w:style w:type="character" w:styleId="FootnoteReference">
    <w:name w:val="footnote reference"/>
    <w:semiHidden/>
    <w:rPr>
      <w:vertAlign w:val="superscript"/>
    </w:rPr>
  </w:style>
  <w:style w:type="paragraph" w:customStyle="1" w:styleId="Venue">
    <w:name w:val="Venue"/>
    <w:basedOn w:val="Normal"/>
    <w:next w:val="Normal"/>
    <w:pPr>
      <w:keepNext/>
      <w:keepLines/>
      <w:widowControl w:val="0"/>
      <w:suppressAutoHyphens/>
      <w:spacing w:after="480"/>
      <w:jc w:val="center"/>
    </w:pPr>
  </w:style>
  <w:style w:type="paragraph" w:customStyle="1" w:styleId="CITES">
    <w:name w:val="CITES"/>
    <w:basedOn w:val="Normal"/>
    <w:next w:val="Normal"/>
    <w:pPr>
      <w:suppressAutoHyphens/>
      <w:jc w:val="center"/>
    </w:pPr>
    <w:rPr>
      <w:caps/>
    </w:rPr>
  </w:style>
  <w:style w:type="paragraph" w:customStyle="1" w:styleId="No">
    <w:name w:val="No"/>
    <w:basedOn w:val="Normal"/>
    <w:next w:val="Normal"/>
    <w:pPr>
      <w:keepNext/>
      <w:keepLines/>
      <w:widowControl w:val="0"/>
      <w:suppressAutoHyphens/>
      <w:jc w:val="right"/>
    </w:pPr>
  </w:style>
  <w:style w:type="character" w:customStyle="1" w:styleId="strike">
    <w:name w:val="strike"/>
    <w:rPr>
      <w:rFonts w:ascii="Arial" w:hAnsi="Arial"/>
      <w:strike/>
      <w:dstrike w:val="0"/>
    </w:rPr>
  </w:style>
  <w:style w:type="character" w:customStyle="1" w:styleId="hg1Char">
    <w:name w:val="hg1 Char"/>
    <w:link w:val="hg1"/>
    <w:locked/>
    <w:rsid w:val="0059159A"/>
    <w:rPr>
      <w:rFonts w:ascii="Arial" w:hAnsi="Arial"/>
      <w:color w:val="000000"/>
      <w:spacing w:val="-2"/>
      <w:kern w:val="20"/>
      <w:lang w:eastAsia="en-US"/>
    </w:rPr>
  </w:style>
  <w:style w:type="character" w:styleId="Hyperlink">
    <w:name w:val="Hyperlink"/>
    <w:basedOn w:val="DefaultParagraphFont"/>
    <w:rsid w:val="009A4897"/>
    <w:rPr>
      <w:color w:val="0000FF" w:themeColor="hyperlink"/>
      <w:u w:val="single"/>
    </w:rPr>
  </w:style>
  <w:style w:type="character" w:styleId="CommentReference">
    <w:name w:val="annotation reference"/>
    <w:basedOn w:val="DefaultParagraphFont"/>
    <w:rsid w:val="00E50CD6"/>
    <w:rPr>
      <w:sz w:val="16"/>
      <w:szCs w:val="16"/>
    </w:rPr>
  </w:style>
  <w:style w:type="paragraph" w:styleId="CommentText">
    <w:name w:val="annotation text"/>
    <w:basedOn w:val="Normal"/>
    <w:link w:val="CommentTextChar"/>
    <w:rsid w:val="00E50CD6"/>
  </w:style>
  <w:style w:type="character" w:customStyle="1" w:styleId="CommentTextChar">
    <w:name w:val="Comment Text Char"/>
    <w:basedOn w:val="DefaultParagraphFont"/>
    <w:link w:val="CommentText"/>
    <w:rsid w:val="00E50CD6"/>
    <w:rPr>
      <w:rFonts w:ascii="Arial" w:hAnsi="Arial"/>
      <w:color w:val="000000"/>
      <w:spacing w:val="-2"/>
      <w:kern w:val="20"/>
      <w:lang w:eastAsia="en-US"/>
    </w:rPr>
  </w:style>
  <w:style w:type="paragraph" w:styleId="CommentSubject">
    <w:name w:val="annotation subject"/>
    <w:basedOn w:val="CommentText"/>
    <w:next w:val="CommentText"/>
    <w:link w:val="CommentSubjectChar"/>
    <w:rsid w:val="00E50CD6"/>
    <w:rPr>
      <w:b/>
      <w:bCs/>
    </w:rPr>
  </w:style>
  <w:style w:type="character" w:customStyle="1" w:styleId="CommentSubjectChar">
    <w:name w:val="Comment Subject Char"/>
    <w:basedOn w:val="CommentTextChar"/>
    <w:link w:val="CommentSubject"/>
    <w:rsid w:val="00E50CD6"/>
    <w:rPr>
      <w:rFonts w:ascii="Arial" w:hAnsi="Arial"/>
      <w:b/>
      <w:bCs/>
      <w:color w:val="000000"/>
      <w:spacing w:val="-2"/>
      <w:kern w:val="20"/>
      <w:lang w:eastAsia="en-US"/>
    </w:rPr>
  </w:style>
  <w:style w:type="paragraph" w:styleId="BalloonText">
    <w:name w:val="Balloon Text"/>
    <w:basedOn w:val="Normal"/>
    <w:link w:val="BalloonTextChar"/>
    <w:rsid w:val="00E50CD6"/>
    <w:pPr>
      <w:spacing w:after="0"/>
    </w:pPr>
    <w:rPr>
      <w:rFonts w:ascii="Tahoma" w:hAnsi="Tahoma" w:cs="Tahoma"/>
      <w:sz w:val="16"/>
      <w:szCs w:val="16"/>
    </w:rPr>
  </w:style>
  <w:style w:type="character" w:customStyle="1" w:styleId="BalloonTextChar">
    <w:name w:val="Balloon Text Char"/>
    <w:basedOn w:val="DefaultParagraphFont"/>
    <w:link w:val="BalloonText"/>
    <w:rsid w:val="00E50CD6"/>
    <w:rPr>
      <w:rFonts w:ascii="Tahoma" w:hAnsi="Tahoma" w:cs="Tahoma"/>
      <w:color w:val="000000"/>
      <w:spacing w:val="-2"/>
      <w:kern w:val="2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Documents\C%20Root\Penny%20Templates\E-SC66-Doc.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SQUEZJ\Documents\NLP\legrating-pie-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0"/>
      <c:rAngAx val="0"/>
      <c:perspective val="0"/>
    </c:view3D>
    <c:floor>
      <c:thickness val="0"/>
    </c:floor>
    <c:sideWall>
      <c:thickness val="0"/>
    </c:sideWall>
    <c:backWall>
      <c:thickness val="0"/>
    </c:backWall>
    <c:plotArea>
      <c:layout>
        <c:manualLayout>
          <c:layoutTarget val="inner"/>
          <c:xMode val="edge"/>
          <c:yMode val="edge"/>
          <c:x val="8.1940188510918874E-2"/>
          <c:y val="0.21818053662020162"/>
          <c:w val="0.63105258394424835"/>
          <c:h val="0.73326173450933485"/>
        </c:manualLayout>
      </c:layout>
      <c:pie3DChart>
        <c:varyColors val="1"/>
        <c:ser>
          <c:idx val="0"/>
          <c:order val="0"/>
          <c:explosion val="25"/>
          <c:dPt>
            <c:idx val="0"/>
            <c:bubble3D val="0"/>
            <c:explosion val="0"/>
          </c:dPt>
          <c:dPt>
            <c:idx val="1"/>
            <c:bubble3D val="0"/>
          </c:dPt>
          <c:dPt>
            <c:idx val="2"/>
            <c:bubble3D val="0"/>
          </c:dPt>
          <c:dPt>
            <c:idx val="3"/>
            <c:bubble3D val="0"/>
          </c:dPt>
          <c:dLbls>
            <c:dLbl>
              <c:idx val="0"/>
              <c:layout>
                <c:manualLayout>
                  <c:x val="-0.23553935068461271"/>
                  <c:y val="-1.926149123056369E-3"/>
                </c:manualLayout>
              </c:layout>
              <c:dLblPos val="bestFit"/>
              <c:showLegendKey val="0"/>
              <c:showVal val="1"/>
              <c:showCatName val="1"/>
              <c:showSerName val="0"/>
              <c:showPercent val="0"/>
              <c:showBubbleSize val="0"/>
            </c:dLbl>
            <c:dLbl>
              <c:idx val="1"/>
              <c:layout>
                <c:manualLayout>
                  <c:x val="0.16589581474729451"/>
                  <c:y val="-0.18391540407629553"/>
                </c:manualLayout>
              </c:layout>
              <c:dLblPos val="bestFit"/>
              <c:showLegendKey val="0"/>
              <c:showVal val="1"/>
              <c:showCatName val="1"/>
              <c:showSerName val="0"/>
              <c:showPercent val="0"/>
              <c:showBubbleSize val="0"/>
            </c:dLbl>
            <c:dLbl>
              <c:idx val="2"/>
              <c:layout>
                <c:manualLayout>
                  <c:x val="0.1493583129694995"/>
                  <c:y val="0.10808152591034424"/>
                </c:manualLayout>
              </c:layout>
              <c:dLblPos val="bestFit"/>
              <c:showLegendKey val="0"/>
              <c:showVal val="1"/>
              <c:showCatName val="1"/>
              <c:showSerName val="0"/>
              <c:showPercent val="0"/>
              <c:showBubbleSize val="0"/>
            </c:dLbl>
            <c:dLbl>
              <c:idx val="3"/>
              <c:layout>
                <c:manualLayout>
                  <c:x val="2.3518870486016835E-2"/>
                  <c:y val="-2.2278063617499077E-2"/>
                </c:manualLayout>
              </c:layout>
              <c:dLblPos val="bestFit"/>
              <c:showLegendKey val="0"/>
              <c:showVal val="1"/>
              <c:showCatName val="1"/>
              <c:showSerName val="0"/>
              <c:showPercent val="0"/>
              <c:showBubbleSize val="0"/>
            </c:dLbl>
            <c:txPr>
              <a:bodyPr/>
              <a:lstStyle/>
              <a:p>
                <a:pPr>
                  <a:defRPr b="1" i="0" baseline="0">
                    <a:solidFill>
                      <a:schemeClr val="tx1"/>
                    </a:solidFill>
                  </a:defRPr>
                </a:pPr>
                <a:endParaRPr lang="en-US"/>
              </a:p>
            </c:txPr>
            <c:showLegendKey val="0"/>
            <c:showVal val="1"/>
            <c:showCatName val="1"/>
            <c:showSerName val="0"/>
            <c:showPercent val="0"/>
            <c:showBubbleSize val="0"/>
            <c:showLeaderLines val="0"/>
          </c:dLbls>
          <c:cat>
            <c:strRef>
              <c:f>Sheet1!$D$7:$D$10</c:f>
              <c:strCache>
                <c:ptCount val="4"/>
                <c:pt idx="0">
                  <c:v>Category 1</c:v>
                </c:pt>
                <c:pt idx="1">
                  <c:v>Category 2</c:v>
                </c:pt>
                <c:pt idx="2">
                  <c:v>Category 3</c:v>
                </c:pt>
                <c:pt idx="3">
                  <c:v>Pending</c:v>
                </c:pt>
              </c:strCache>
            </c:strRef>
          </c:cat>
          <c:val>
            <c:numRef>
              <c:f>Sheet1!$F$7:$F$10</c:f>
              <c:numCache>
                <c:formatCode>0.0%</c:formatCode>
                <c:ptCount val="4"/>
                <c:pt idx="0">
                  <c:v>0.48618784530386738</c:v>
                </c:pt>
                <c:pt idx="1">
                  <c:v>0.27071823204419887</c:v>
                </c:pt>
                <c:pt idx="2">
                  <c:v>0.21546961325966851</c:v>
                </c:pt>
                <c:pt idx="3">
                  <c:v>2.7624309392265192E-2</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8719289399169925"/>
          <c:y val="5.7761732851985562E-2"/>
          <c:w val="0.28571454430265186"/>
          <c:h val="0.43321375441788185"/>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61E3-B64F-4F2B-B75F-AA7EDCE2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E-SC66-Doc.dotx</Template>
  <TotalTime>11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Sixty-sixth meeting of the CITES Standing Committee</vt:lpstr>
    </vt:vector>
  </TitlesOfParts>
  <Company>United Nations Office at Geneva</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Sixty-sixth meeting of the CITES Standing Committee</dc:title>
  <dc:subject>SC65 Doc.</dc:subject>
  <dc:creator>Penelope Benn</dc:creator>
  <cp:lastModifiedBy>ICTS-DK7</cp:lastModifiedBy>
  <cp:revision>11</cp:revision>
  <cp:lastPrinted>2015-12-04T07:54:00Z</cp:lastPrinted>
  <dcterms:created xsi:type="dcterms:W3CDTF">2015-12-04T07:51:00Z</dcterms:created>
  <dcterms:modified xsi:type="dcterms:W3CDTF">2015-12-04T08:05:00Z</dcterms:modified>
</cp:coreProperties>
</file>